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rPr>
          <w:rFonts w:ascii="仿宋" w:hAnsi="仿宋" w:eastAsia="仿宋"/>
          <w:sz w:val="32"/>
          <w:szCs w:val="32"/>
        </w:rPr>
      </w:pPr>
    </w:p>
    <w:p>
      <w:pPr>
        <w:snapToGrid w:val="0"/>
        <w:spacing w:line="440" w:lineRule="exact"/>
        <w:ind w:firstLine="0" w:firstLineChars="0"/>
        <w:jc w:val="center"/>
        <w:rPr>
          <w:rFonts w:hint="eastAsia" w:ascii="宋体" w:hAnsi="宋体" w:eastAsia="宋体" w:cs="宋体"/>
          <w:spacing w:val="60"/>
          <w:sz w:val="32"/>
          <w:szCs w:val="32"/>
        </w:rPr>
      </w:pPr>
      <w:r>
        <w:rPr>
          <w:rFonts w:hint="eastAsia" w:ascii="宋体" w:hAnsi="宋体" w:eastAsia="宋体" w:cs="宋体"/>
          <w:sz w:val="32"/>
          <w:szCs w:val="32"/>
        </w:rPr>
        <w:t>宝陈农发〔202</w:t>
      </w:r>
      <w:r>
        <w:rPr>
          <w:rFonts w:hint="eastAsia" w:ascii="宋体" w:hAnsi="宋体" w:eastAsia="宋体" w:cs="宋体"/>
          <w:sz w:val="32"/>
          <w:szCs w:val="32"/>
          <w:lang w:val="en-US" w:eastAsia="zh-CN"/>
        </w:rPr>
        <w:t>2</w:t>
      </w:r>
      <w:r>
        <w:rPr>
          <w:rFonts w:hint="eastAsia" w:ascii="宋体" w:hAnsi="宋体" w:eastAsia="宋体" w:cs="宋体"/>
          <w:sz w:val="32"/>
          <w:szCs w:val="32"/>
        </w:rPr>
        <w:t>〕</w:t>
      </w:r>
      <w:r>
        <w:rPr>
          <w:rFonts w:hint="eastAsia" w:ascii="宋体" w:hAnsi="宋体" w:cs="宋体"/>
          <w:sz w:val="32"/>
          <w:szCs w:val="32"/>
          <w:lang w:val="en-US" w:eastAsia="zh-CN"/>
        </w:rPr>
        <w:t>58</w:t>
      </w:r>
      <w:r>
        <w:rPr>
          <w:rFonts w:hint="eastAsia" w:ascii="宋体" w:hAnsi="宋体" w:eastAsia="宋体" w:cs="宋体"/>
          <w:sz w:val="32"/>
          <w:szCs w:val="32"/>
        </w:rPr>
        <w:t>号</w:t>
      </w:r>
    </w:p>
    <w:p>
      <w:pPr>
        <w:snapToGrid w:val="0"/>
        <w:spacing w:line="440" w:lineRule="exact"/>
        <w:ind w:firstLine="2400" w:firstLineChars="500"/>
        <w:jc w:val="center"/>
        <w:rPr>
          <w:rFonts w:ascii="黑体" w:hAnsi="黑体" w:eastAsia="黑体"/>
          <w:spacing w:val="60"/>
          <w:sz w:val="36"/>
          <w:szCs w:val="36"/>
        </w:rPr>
      </w:pPr>
    </w:p>
    <w:p>
      <w:pPr>
        <w:snapToGrid w:val="0"/>
        <w:spacing w:line="600" w:lineRule="exact"/>
        <w:ind w:firstLine="0" w:firstLineChars="0"/>
        <w:rPr>
          <w:rFonts w:ascii="黑体" w:hAnsi="黑体" w:eastAsia="黑体" w:cs="黑体"/>
          <w:spacing w:val="60"/>
          <w:sz w:val="36"/>
          <w:szCs w:val="36"/>
        </w:rPr>
      </w:pPr>
    </w:p>
    <w:p>
      <w:pPr>
        <w:snapToGrid w:val="0"/>
        <w:spacing w:line="600" w:lineRule="exact"/>
        <w:ind w:firstLine="0" w:firstLineChars="0"/>
        <w:jc w:val="center"/>
        <w:rPr>
          <w:rFonts w:ascii="黑体" w:hAnsi="黑体" w:eastAsia="黑体" w:cs="黑体"/>
          <w:sz w:val="36"/>
          <w:szCs w:val="36"/>
        </w:rPr>
      </w:pPr>
      <w:r>
        <w:rPr>
          <w:rFonts w:hint="eastAsia" w:ascii="黑体" w:hAnsi="黑体" w:eastAsia="黑体" w:cs="黑体"/>
          <w:sz w:val="36"/>
          <w:szCs w:val="36"/>
        </w:rPr>
        <w:t>宝鸡市陈仓区农业农村局</w:t>
      </w:r>
    </w:p>
    <w:p>
      <w:pPr>
        <w:snapToGrid w:val="0"/>
        <w:spacing w:line="600" w:lineRule="exact"/>
        <w:ind w:firstLine="0" w:firstLineChars="0"/>
        <w:jc w:val="center"/>
        <w:rPr>
          <w:rFonts w:hint="eastAsia" w:ascii="黑体" w:hAnsi="黑体" w:eastAsia="黑体" w:cs="黑体"/>
          <w:sz w:val="36"/>
          <w:szCs w:val="36"/>
          <w:lang w:eastAsia="zh-CN"/>
        </w:rPr>
      </w:pPr>
      <w:r>
        <w:rPr>
          <w:rFonts w:hint="eastAsia" w:ascii="黑体" w:hAnsi="黑体" w:eastAsia="黑体" w:cs="黑体"/>
          <w:sz w:val="36"/>
          <w:szCs w:val="36"/>
        </w:rPr>
        <w:t>关于202</w:t>
      </w:r>
      <w:r>
        <w:rPr>
          <w:rFonts w:hint="eastAsia" w:ascii="黑体" w:hAnsi="黑体" w:eastAsia="黑体" w:cs="黑体"/>
          <w:sz w:val="36"/>
          <w:szCs w:val="36"/>
          <w:lang w:val="en-US" w:eastAsia="zh-CN"/>
        </w:rPr>
        <w:t>2</w:t>
      </w:r>
      <w:r>
        <w:rPr>
          <w:rFonts w:hint="eastAsia" w:ascii="黑体" w:hAnsi="黑体" w:eastAsia="黑体" w:cs="黑体"/>
          <w:sz w:val="36"/>
          <w:szCs w:val="36"/>
        </w:rPr>
        <w:t>年</w:t>
      </w:r>
      <w:r>
        <w:rPr>
          <w:rFonts w:hint="eastAsia" w:ascii="黑体" w:hAnsi="黑体" w:eastAsia="黑体" w:cs="黑体"/>
          <w:sz w:val="36"/>
          <w:szCs w:val="36"/>
          <w:lang w:eastAsia="zh-CN"/>
        </w:rPr>
        <w:t>香泉镇前锋村微生物无水环保</w:t>
      </w:r>
    </w:p>
    <w:p>
      <w:pPr>
        <w:snapToGrid w:val="0"/>
        <w:spacing w:line="600" w:lineRule="exact"/>
        <w:ind w:firstLine="0" w:firstLineChars="0"/>
        <w:jc w:val="center"/>
        <w:rPr>
          <w:rFonts w:hint="eastAsia" w:ascii="黑体" w:hAnsi="黑体" w:eastAsia="黑体" w:cs="黑体"/>
          <w:sz w:val="36"/>
          <w:szCs w:val="36"/>
        </w:rPr>
      </w:pPr>
      <w:r>
        <w:rPr>
          <w:rFonts w:hint="eastAsia" w:ascii="黑体" w:hAnsi="黑体" w:eastAsia="黑体" w:cs="黑体"/>
          <w:sz w:val="36"/>
          <w:szCs w:val="36"/>
          <w:lang w:eastAsia="zh-CN"/>
        </w:rPr>
        <w:t>一体式公厕</w:t>
      </w:r>
      <w:r>
        <w:rPr>
          <w:rFonts w:hint="eastAsia" w:ascii="黑体" w:hAnsi="黑体" w:eastAsia="黑体" w:cs="黑体"/>
          <w:sz w:val="36"/>
          <w:szCs w:val="36"/>
        </w:rPr>
        <w:t>建设项目实施方案的批复</w:t>
      </w:r>
    </w:p>
    <w:p>
      <w:pPr>
        <w:snapToGrid w:val="0"/>
        <w:spacing w:line="600" w:lineRule="exact"/>
        <w:ind w:firstLine="0" w:firstLineChars="0"/>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textAlignment w:val="auto"/>
        <w:rPr>
          <w:rFonts w:hint="eastAsia" w:ascii="仿宋_GB2312" w:hAnsi="仿宋" w:eastAsia="仿宋_GB2312" w:cs="仿宋"/>
          <w:sz w:val="32"/>
          <w:szCs w:val="32"/>
          <w:lang w:val="zh-TW"/>
        </w:rPr>
      </w:pPr>
      <w:r>
        <w:rPr>
          <w:rFonts w:hint="eastAsia" w:ascii="仿宋_GB2312" w:hAnsi="仿宋" w:eastAsia="仿宋_GB2312" w:cs="仿宋"/>
          <w:sz w:val="32"/>
          <w:szCs w:val="32"/>
          <w:lang w:val="zh-TW" w:eastAsia="zh-CN"/>
        </w:rPr>
        <w:t>香泉</w:t>
      </w:r>
      <w:r>
        <w:rPr>
          <w:rFonts w:hint="eastAsia" w:ascii="仿宋_GB2312" w:hAnsi="仿宋" w:eastAsia="仿宋_GB2312" w:cs="仿宋"/>
          <w:sz w:val="32"/>
          <w:szCs w:val="32"/>
          <w:lang w:val="zh-TW"/>
        </w:rPr>
        <w:t>镇人民政府：</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 w:eastAsia="仿宋_GB2312" w:cs="仿宋"/>
          <w:sz w:val="32"/>
          <w:szCs w:val="32"/>
          <w:lang w:val="zh-TW"/>
        </w:rPr>
      </w:pPr>
      <w:r>
        <w:rPr>
          <w:rFonts w:hint="eastAsia" w:ascii="仿宋_GB2312" w:hAnsi="仿宋" w:eastAsia="仿宋_GB2312" w:cs="仿宋"/>
          <w:sz w:val="32"/>
          <w:szCs w:val="32"/>
          <w:lang w:val="zh-TW"/>
        </w:rPr>
        <w:t>你镇上报的《202</w:t>
      </w: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lang w:val="zh-TW"/>
        </w:rPr>
        <w:t>年中</w:t>
      </w:r>
      <w:r>
        <w:rPr>
          <w:rFonts w:hint="eastAsia" w:ascii="仿宋_GB2312" w:hAnsi="仿宋" w:eastAsia="仿宋_GB2312" w:cs="仿宋"/>
          <w:sz w:val="32"/>
          <w:szCs w:val="32"/>
          <w:lang w:val="zh-TW" w:eastAsia="zh-CN"/>
        </w:rPr>
        <w:t>央（第二批）财政衔接补助资金香泉镇前锋村微生物无水环保一体式公厕建设项目实施方案</w:t>
      </w:r>
      <w:r>
        <w:rPr>
          <w:rFonts w:hint="eastAsia" w:ascii="仿宋_GB2312" w:hAnsi="仿宋" w:eastAsia="仿宋_GB2312" w:cs="仿宋"/>
          <w:sz w:val="32"/>
          <w:szCs w:val="32"/>
          <w:lang w:val="zh-TW"/>
        </w:rPr>
        <w:t>的报告》(宝陈</w:t>
      </w:r>
      <w:r>
        <w:rPr>
          <w:rFonts w:hint="eastAsia" w:ascii="仿宋_GB2312" w:hAnsi="仿宋" w:eastAsia="仿宋_GB2312" w:cs="仿宋"/>
          <w:sz w:val="32"/>
          <w:szCs w:val="32"/>
          <w:lang w:val="zh-TW" w:eastAsia="zh-CN"/>
        </w:rPr>
        <w:t>香</w:t>
      </w:r>
      <w:r>
        <w:rPr>
          <w:rFonts w:hint="eastAsia" w:ascii="仿宋_GB2312" w:hAnsi="仿宋" w:eastAsia="仿宋_GB2312" w:cs="仿宋"/>
          <w:sz w:val="32"/>
          <w:szCs w:val="32"/>
          <w:lang w:val="zh-TW"/>
        </w:rPr>
        <w:t>政发〔202</w:t>
      </w: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lang w:val="zh-TW"/>
        </w:rPr>
        <w:t>〕</w:t>
      </w:r>
      <w:r>
        <w:rPr>
          <w:rFonts w:hint="eastAsia" w:ascii="仿宋_GB2312" w:hAnsi="仿宋" w:eastAsia="仿宋_GB2312" w:cs="仿宋"/>
          <w:sz w:val="32"/>
          <w:szCs w:val="32"/>
          <w:lang w:val="en-US" w:eastAsia="zh-CN"/>
        </w:rPr>
        <w:t>83</w:t>
      </w:r>
      <w:r>
        <w:rPr>
          <w:rFonts w:hint="eastAsia" w:ascii="仿宋_GB2312" w:hAnsi="仿宋" w:eastAsia="仿宋_GB2312" w:cs="仿宋"/>
          <w:sz w:val="32"/>
          <w:szCs w:val="32"/>
          <w:lang w:val="zh-TW"/>
        </w:rPr>
        <w:t>号）收悉。经</w:t>
      </w:r>
      <w:r>
        <w:rPr>
          <w:rFonts w:hint="eastAsia" w:ascii="仿宋_GB2312" w:hAnsi="仿宋" w:eastAsia="仿宋_GB2312" w:cs="仿宋"/>
          <w:sz w:val="32"/>
          <w:szCs w:val="32"/>
          <w:lang w:val="en-US" w:eastAsia="zh-CN"/>
        </w:rPr>
        <w:t>4</w:t>
      </w:r>
      <w:r>
        <w:rPr>
          <w:rFonts w:hint="eastAsia" w:ascii="仿宋_GB2312" w:hAnsi="仿宋" w:eastAsia="仿宋_GB2312" w:cs="仿宋"/>
          <w:sz w:val="32"/>
          <w:szCs w:val="32"/>
          <w:lang w:val="zh-TW"/>
        </w:rPr>
        <w:t>月</w:t>
      </w:r>
      <w:r>
        <w:rPr>
          <w:rFonts w:hint="eastAsia" w:ascii="仿宋_GB2312" w:hAnsi="仿宋" w:eastAsia="仿宋_GB2312" w:cs="仿宋"/>
          <w:sz w:val="32"/>
          <w:szCs w:val="32"/>
          <w:lang w:val="en-US" w:eastAsia="zh-CN"/>
        </w:rPr>
        <w:t>19</w:t>
      </w:r>
      <w:r>
        <w:rPr>
          <w:rFonts w:hint="eastAsia" w:ascii="仿宋_GB2312" w:hAnsi="仿宋" w:eastAsia="仿宋_GB2312" w:cs="仿宋"/>
          <w:sz w:val="32"/>
          <w:szCs w:val="32"/>
          <w:lang w:val="zh-TW"/>
        </w:rPr>
        <w:t>日宝鸡市陈仓区202</w:t>
      </w: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lang w:val="zh-TW"/>
        </w:rPr>
        <w:t>年中</w:t>
      </w:r>
      <w:r>
        <w:rPr>
          <w:rFonts w:hint="eastAsia" w:ascii="仿宋_GB2312" w:hAnsi="仿宋" w:eastAsia="仿宋_GB2312" w:cs="仿宋"/>
          <w:sz w:val="32"/>
          <w:szCs w:val="32"/>
          <w:lang w:val="zh-TW" w:eastAsia="zh-CN"/>
        </w:rPr>
        <w:t>央（第二批）和区级</w:t>
      </w:r>
      <w:r>
        <w:rPr>
          <w:rFonts w:hint="eastAsia" w:ascii="仿宋_GB2312" w:hAnsi="仿宋" w:eastAsia="仿宋_GB2312" w:cs="仿宋"/>
          <w:sz w:val="32"/>
          <w:szCs w:val="32"/>
          <w:lang w:val="zh-TW"/>
        </w:rPr>
        <w:t>财政衔接专项资金项目评审会公开质询评审，该项目符合项目管理规定，同意你镇实施农村公厕建设项目，现批复如下：</w:t>
      </w:r>
    </w:p>
    <w:p>
      <w:pPr>
        <w:pStyle w:val="2"/>
        <w:keepNext w:val="0"/>
        <w:keepLines w:val="0"/>
        <w:pageBreakBefore w:val="0"/>
        <w:widowControl w:val="0"/>
        <w:kinsoku/>
        <w:wordWrap/>
        <w:overflowPunct/>
        <w:topLinePunct w:val="0"/>
        <w:autoSpaceDE/>
        <w:autoSpaceDN/>
        <w:bidi w:val="0"/>
        <w:adjustRightInd/>
        <w:spacing w:line="560" w:lineRule="exact"/>
        <w:ind w:firstLine="640"/>
        <w:jc w:val="both"/>
        <w:textAlignment w:val="auto"/>
        <w:rPr>
          <w:rFonts w:hint="eastAsia" w:ascii="黑体" w:hAnsi="黑体" w:eastAsia="黑体"/>
          <w:b w:val="0"/>
          <w:sz w:val="32"/>
          <w:szCs w:val="32"/>
          <w:lang w:val="zh-TW"/>
        </w:rPr>
      </w:pPr>
      <w:r>
        <w:rPr>
          <w:rFonts w:hint="eastAsia" w:ascii="黑体" w:hAnsi="黑体" w:eastAsia="黑体"/>
          <w:b w:val="0"/>
          <w:sz w:val="32"/>
          <w:szCs w:val="32"/>
          <w:lang w:val="zh-TW"/>
        </w:rPr>
        <w:t>一、项目建设内容及规模</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楷体" w:hAnsi="楷体" w:eastAsia="楷体" w:cs="楷体"/>
          <w:sz w:val="32"/>
          <w:szCs w:val="32"/>
          <w:lang w:val="zh-TW" w:eastAsia="zh-CN"/>
        </w:rPr>
      </w:pPr>
      <w:r>
        <w:rPr>
          <w:rFonts w:hint="eastAsia" w:ascii="楷体" w:hAnsi="楷体" w:eastAsia="楷体" w:cs="楷体"/>
          <w:sz w:val="32"/>
          <w:szCs w:val="32"/>
          <w:lang w:val="zh-TW" w:eastAsia="zh-CN"/>
        </w:rPr>
        <w:t>（一）</w:t>
      </w:r>
      <w:r>
        <w:rPr>
          <w:rFonts w:hint="eastAsia" w:ascii="楷体" w:hAnsi="楷体" w:eastAsia="楷体" w:cs="楷体"/>
          <w:sz w:val="32"/>
          <w:szCs w:val="32"/>
          <w:lang w:val="zh-TW"/>
        </w:rPr>
        <w:t>建设地点及规模</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 w:eastAsia="仿宋_GB2312" w:cs="仿宋"/>
          <w:sz w:val="32"/>
          <w:szCs w:val="32"/>
          <w:lang w:val="zh-TW"/>
        </w:rPr>
      </w:pPr>
      <w:r>
        <w:rPr>
          <w:rFonts w:hint="eastAsia" w:ascii="仿宋_GB2312" w:hAnsi="仿宋" w:eastAsia="仿宋_GB2312" w:cs="仿宋"/>
          <w:sz w:val="32"/>
          <w:szCs w:val="32"/>
          <w:lang w:val="zh-TW"/>
        </w:rPr>
        <w:t>在前锋村移民点建设微生物无水环保一体式公厕一座。</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楷体" w:hAnsi="楷体" w:eastAsia="楷体" w:cs="楷体"/>
          <w:sz w:val="32"/>
          <w:szCs w:val="32"/>
          <w:lang w:val="zh-TW" w:eastAsia="zh-CN"/>
        </w:rPr>
      </w:pPr>
      <w:r>
        <w:rPr>
          <w:rFonts w:hint="eastAsia" w:ascii="楷体" w:hAnsi="楷体" w:eastAsia="楷体" w:cs="楷体"/>
          <w:sz w:val="32"/>
          <w:szCs w:val="32"/>
          <w:lang w:val="zh-TW" w:eastAsia="zh-CN"/>
        </w:rPr>
        <w:t>（二）</w:t>
      </w:r>
      <w:r>
        <w:rPr>
          <w:rFonts w:hint="eastAsia" w:ascii="楷体" w:hAnsi="楷体" w:eastAsia="楷体" w:cs="楷体"/>
          <w:sz w:val="32"/>
          <w:szCs w:val="32"/>
          <w:lang w:val="zh-TW"/>
        </w:rPr>
        <w:t>建设内容</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 w:eastAsia="仿宋_GB2312" w:cs="仿宋"/>
          <w:sz w:val="32"/>
          <w:szCs w:val="32"/>
          <w:lang w:val="zh-TW" w:eastAsia="zh-CN"/>
        </w:rPr>
      </w:pPr>
      <w:r>
        <w:rPr>
          <w:rFonts w:hint="eastAsia" w:ascii="仿宋_GB2312" w:hAnsi="仿宋" w:eastAsia="仿宋_GB2312" w:cs="仿宋"/>
          <w:sz w:val="32"/>
          <w:szCs w:val="32"/>
          <w:lang w:val="zh-TW" w:eastAsia="zh-CN"/>
        </w:rPr>
        <w:t>1.建设微生物无水环保轻钢结构一体式公厕一座，建筑面积30㎡，蹲坑7个（4男3女）；包括混凝土圈梁及地基处理。</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 w:eastAsia="仿宋_GB2312" w:cs="仿宋"/>
          <w:sz w:val="32"/>
          <w:szCs w:val="32"/>
          <w:lang w:val="zh-TW" w:eastAsia="zh-CN"/>
        </w:rPr>
      </w:pPr>
      <w:r>
        <w:rPr>
          <w:rFonts w:hint="eastAsia" w:ascii="仿宋_GB2312" w:hAnsi="仿宋" w:eastAsia="仿宋_GB2312" w:cs="仿宋"/>
          <w:sz w:val="32"/>
          <w:szCs w:val="32"/>
          <w:lang w:val="zh-TW" w:eastAsia="zh-CN"/>
        </w:rPr>
        <w:t>2.8套设备，7个蹲位下各配置1套微生物降解设备；洗手台下配置1套四格式尿液处理装置；男厕3个小便斗（成人2个，儿童1个），同时配备洗手池、整容镜、衣帽钩。</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 w:eastAsia="仿宋_GB2312" w:cs="仿宋"/>
          <w:sz w:val="32"/>
          <w:szCs w:val="32"/>
          <w:lang w:val="zh-TW" w:eastAsia="zh-CN"/>
        </w:rPr>
      </w:pPr>
      <w:r>
        <w:rPr>
          <w:rFonts w:hint="eastAsia" w:ascii="仿宋_GB2312" w:hAnsi="仿宋" w:eastAsia="仿宋_GB2312" w:cs="仿宋"/>
          <w:sz w:val="32"/>
          <w:szCs w:val="32"/>
          <w:lang w:val="zh-TW" w:eastAsia="zh-CN"/>
        </w:rPr>
        <w:t>3.男女厕门采用优质铝合金材质门，尺寸： 800x2100mm；厕所大门为仿铜双开防盗门，尺寸：1800mmx2400mm；</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 w:eastAsia="仿宋_GB2312" w:cs="仿宋"/>
          <w:sz w:val="32"/>
          <w:szCs w:val="32"/>
          <w:lang w:val="zh-TW" w:eastAsia="zh-CN"/>
        </w:rPr>
      </w:pPr>
      <w:r>
        <w:rPr>
          <w:rFonts w:hint="eastAsia" w:ascii="仿宋_GB2312" w:hAnsi="仿宋" w:eastAsia="仿宋_GB2312" w:cs="仿宋"/>
          <w:sz w:val="32"/>
          <w:szCs w:val="32"/>
          <w:lang w:val="zh-TW" w:eastAsia="zh-CN"/>
        </w:rPr>
        <w:t>4.满足防水和保温隔热的要求，屋面采用沥青瓦铺设，室内屋顶采用隔热保温夹芯板材制作安装；</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 w:eastAsia="仿宋_GB2312" w:cs="仿宋"/>
          <w:sz w:val="32"/>
          <w:szCs w:val="32"/>
          <w:lang w:val="zh-TW" w:eastAsia="zh-CN"/>
        </w:rPr>
      </w:pPr>
      <w:r>
        <w:rPr>
          <w:rFonts w:hint="eastAsia" w:ascii="仿宋_GB2312" w:hAnsi="仿宋" w:eastAsia="仿宋_GB2312" w:cs="仿宋"/>
          <w:sz w:val="32"/>
          <w:szCs w:val="32"/>
          <w:lang w:val="zh-TW" w:eastAsia="zh-CN"/>
        </w:rPr>
        <w:t>5.公厕应设置标识，字体及颜色与公厕相协调，标识应符合相关要求。</w:t>
      </w:r>
    </w:p>
    <w:p>
      <w:pPr>
        <w:pStyle w:val="2"/>
        <w:keepNext w:val="0"/>
        <w:keepLines w:val="0"/>
        <w:pageBreakBefore w:val="0"/>
        <w:widowControl w:val="0"/>
        <w:kinsoku/>
        <w:wordWrap/>
        <w:overflowPunct/>
        <w:topLinePunct w:val="0"/>
        <w:autoSpaceDE/>
        <w:autoSpaceDN/>
        <w:bidi w:val="0"/>
        <w:adjustRightInd/>
        <w:spacing w:line="560" w:lineRule="exact"/>
        <w:ind w:firstLine="640"/>
        <w:jc w:val="both"/>
        <w:textAlignment w:val="auto"/>
        <w:rPr>
          <w:rFonts w:hint="eastAsia" w:ascii="楷体" w:hAnsi="楷体" w:eastAsia="楷体" w:cs="楷体"/>
          <w:b w:val="0"/>
          <w:kern w:val="2"/>
          <w:sz w:val="32"/>
          <w:szCs w:val="32"/>
          <w:lang w:val="zh-TW" w:eastAsia="zh-CN" w:bidi="ar-SA"/>
        </w:rPr>
      </w:pPr>
      <w:r>
        <w:rPr>
          <w:rFonts w:hint="eastAsia" w:ascii="楷体" w:hAnsi="楷体" w:eastAsia="楷体" w:cs="楷体"/>
          <w:b w:val="0"/>
          <w:kern w:val="2"/>
          <w:sz w:val="32"/>
          <w:szCs w:val="32"/>
          <w:lang w:val="zh-TW" w:eastAsia="zh-CN" w:bidi="ar-SA"/>
        </w:rPr>
        <w:t>（三）项目资金来源</w:t>
      </w:r>
    </w:p>
    <w:p>
      <w:pPr>
        <w:pStyle w:val="2"/>
        <w:keepNext w:val="0"/>
        <w:keepLines w:val="0"/>
        <w:pageBreakBefore w:val="0"/>
        <w:widowControl w:val="0"/>
        <w:kinsoku/>
        <w:wordWrap/>
        <w:overflowPunct/>
        <w:topLinePunct w:val="0"/>
        <w:autoSpaceDE/>
        <w:autoSpaceDN/>
        <w:bidi w:val="0"/>
        <w:adjustRightInd/>
        <w:spacing w:line="560" w:lineRule="exact"/>
        <w:ind w:firstLine="640"/>
        <w:jc w:val="both"/>
        <w:textAlignment w:val="auto"/>
        <w:rPr>
          <w:rFonts w:hint="eastAsia" w:ascii="仿宋_GB2312" w:eastAsia="仿宋_GB2312"/>
          <w:b w:val="0"/>
          <w:sz w:val="32"/>
          <w:szCs w:val="32"/>
          <w:lang w:val="zh-TW"/>
        </w:rPr>
      </w:pPr>
      <w:r>
        <w:rPr>
          <w:rFonts w:hint="eastAsia" w:ascii="仿宋_GB2312" w:eastAsia="仿宋_GB2312"/>
          <w:b w:val="0"/>
          <w:sz w:val="32"/>
          <w:szCs w:val="32"/>
          <w:lang w:val="zh-TW"/>
        </w:rPr>
        <w:t>项目总投资</w:t>
      </w:r>
      <w:r>
        <w:rPr>
          <w:rFonts w:hint="eastAsia" w:ascii="仿宋_GB2312" w:eastAsia="仿宋_GB2312"/>
          <w:b w:val="0"/>
          <w:sz w:val="32"/>
          <w:szCs w:val="32"/>
          <w:lang w:val="en-US" w:eastAsia="zh-CN"/>
        </w:rPr>
        <w:t>29.5</w:t>
      </w:r>
      <w:r>
        <w:rPr>
          <w:rFonts w:hint="eastAsia" w:ascii="仿宋_GB2312" w:eastAsia="仿宋_GB2312"/>
          <w:b w:val="0"/>
          <w:sz w:val="32"/>
          <w:szCs w:val="32"/>
          <w:lang w:val="zh-TW"/>
        </w:rPr>
        <w:t>万元，全部为</w:t>
      </w:r>
      <w:r>
        <w:rPr>
          <w:rFonts w:hint="eastAsia" w:ascii="仿宋_GB2312" w:eastAsia="仿宋_GB2312"/>
          <w:b w:val="0"/>
          <w:sz w:val="32"/>
          <w:szCs w:val="32"/>
          <w:lang w:val="zh-TW" w:eastAsia="zh-CN"/>
        </w:rPr>
        <w:t>中央</w:t>
      </w:r>
      <w:r>
        <w:rPr>
          <w:rFonts w:hint="eastAsia" w:ascii="仿宋_GB2312" w:eastAsia="仿宋_GB2312"/>
          <w:b w:val="0"/>
          <w:sz w:val="32"/>
          <w:szCs w:val="32"/>
          <w:lang w:val="zh-TW"/>
        </w:rPr>
        <w:t>级财政衔接资金。</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left="630" w:leftChars="0"/>
        <w:jc w:val="both"/>
        <w:textAlignment w:val="auto"/>
        <w:rPr>
          <w:rFonts w:hint="eastAsia" w:ascii="黑体" w:hAnsi="黑体" w:eastAsia="黑体"/>
          <w:b w:val="0"/>
          <w:sz w:val="32"/>
          <w:szCs w:val="32"/>
          <w:lang w:val="zh-TW" w:eastAsia="zh-CN"/>
        </w:rPr>
      </w:pPr>
      <w:r>
        <w:rPr>
          <w:rFonts w:hint="eastAsia" w:ascii="黑体" w:hAnsi="黑体" w:eastAsia="黑体"/>
          <w:b w:val="0"/>
          <w:sz w:val="32"/>
          <w:szCs w:val="32"/>
          <w:lang w:val="zh-TW" w:eastAsia="zh-CN"/>
        </w:rPr>
        <w:t>二、项目招投标方式</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仿宋" w:eastAsia="仿宋_GB2312" w:cs="仿宋"/>
          <w:b w:val="0"/>
          <w:kern w:val="2"/>
          <w:sz w:val="32"/>
          <w:szCs w:val="32"/>
          <w:lang w:val="zh-TW" w:eastAsia="zh-CN" w:bidi="ar-SA"/>
        </w:rPr>
      </w:pPr>
      <w:r>
        <w:rPr>
          <w:rFonts w:hint="eastAsia" w:ascii="仿宋_GB2312" w:hAnsi="仿宋" w:eastAsia="仿宋_GB2312" w:cs="仿宋"/>
          <w:b w:val="0"/>
          <w:kern w:val="2"/>
          <w:sz w:val="32"/>
          <w:szCs w:val="32"/>
          <w:lang w:val="zh-TW" w:eastAsia="zh-CN" w:bidi="ar-SA"/>
        </w:rPr>
        <w:t>项目以竞争性磋商的方式进行实施。</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黑体" w:hAnsi="黑体" w:eastAsia="黑体" w:cs="仿宋_GB2312"/>
          <w:sz w:val="32"/>
          <w:szCs w:val="32"/>
        </w:rPr>
      </w:pPr>
      <w:r>
        <w:rPr>
          <w:rFonts w:hint="eastAsia" w:ascii="黑体" w:hAnsi="黑体" w:eastAsia="黑体" w:cs="仿宋_GB2312"/>
          <w:sz w:val="32"/>
          <w:szCs w:val="32"/>
          <w:lang w:eastAsia="zh-CN"/>
        </w:rPr>
        <w:t>三</w:t>
      </w:r>
      <w:r>
        <w:rPr>
          <w:rFonts w:hint="eastAsia" w:ascii="黑体" w:hAnsi="黑体" w:eastAsia="黑体" w:cs="仿宋_GB2312"/>
          <w:sz w:val="32"/>
          <w:szCs w:val="32"/>
        </w:rPr>
        <w:t>、项目实施要求</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1.夯实责任，加强项目实施管理。</w:t>
      </w:r>
      <w:r>
        <w:rPr>
          <w:rFonts w:hint="eastAsia" w:ascii="仿宋_GB2312" w:hAnsi="仿宋_GB2312" w:eastAsia="仿宋_GB2312" w:cs="仿宋_GB2312"/>
          <w:sz w:val="32"/>
          <w:szCs w:val="32"/>
        </w:rPr>
        <w:t>项目镇街要切实落实项目实施主体责任，按照省市区财政衔接资金项目管理办法及实施要求，严格落实项目招投标、公示公告等制度，</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施工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监理、资料整理、验收审计等</w:t>
      </w:r>
      <w:r>
        <w:rPr>
          <w:rFonts w:hint="eastAsia" w:ascii="仿宋_GB2312" w:hAnsi="仿宋_GB2312" w:eastAsia="仿宋_GB2312" w:cs="仿宋_GB2312"/>
          <w:sz w:val="32"/>
          <w:szCs w:val="32"/>
          <w:lang w:eastAsia="zh-CN"/>
        </w:rPr>
        <w:t>全过程实行规范化管理制度。</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2.规范管理，管好用好项目资金。</w:t>
      </w:r>
      <w:r>
        <w:rPr>
          <w:rFonts w:hint="eastAsia" w:ascii="仿宋_GB2312" w:hAnsi="仿宋_GB2312" w:eastAsia="仿宋_GB2312" w:cs="仿宋_GB2312"/>
          <w:sz w:val="32"/>
          <w:szCs w:val="32"/>
        </w:rPr>
        <w:t>按照区财政局、区乡村振兴局等六部门《关于印发&lt;宝鸡市陈仓区财政衔接推进乡村振兴补助资金管理办法&gt;的通知》（宝陈财农字〔2021〕38号）要求，加强项目资金管理，落实资金报账制度，规范报账审核程序。加强项目绩效目标管理，切实做好项目绩效目标事前申报、事中监控、事后评价等工作，确保充分发挥财政衔接资金作用。</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3.加强协调，确保按期完成项目建设任务。</w:t>
      </w:r>
      <w:r>
        <w:rPr>
          <w:rFonts w:hint="eastAsia" w:ascii="仿宋_GB2312" w:hAnsi="仿宋_GB2312" w:eastAsia="仿宋_GB2312" w:cs="仿宋_GB2312"/>
          <w:sz w:val="32"/>
          <w:szCs w:val="32"/>
        </w:rPr>
        <w:t>项目镇街要加强实施组织协调，充分调动设计、施工、监理及项目村积极性，为项目落实施工提供有力保障，确保202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年11月底前完成项目建设任务、资金兑付和报账工作，接受上级检查验收。同时，提早动手做好项目资产确权移交和后期运维</w:t>
      </w:r>
      <w:r>
        <w:rPr>
          <w:rFonts w:hint="eastAsia" w:ascii="楷体" w:hAnsi="楷体" w:eastAsia="楷体" w:cs="楷体"/>
          <w:sz w:val="32"/>
          <w:szCs w:val="32"/>
        </w:rPr>
        <w:t>管理</w:t>
      </w:r>
      <w:r>
        <w:rPr>
          <w:rFonts w:hint="eastAsia" w:ascii="仿宋_GB2312" w:hAnsi="仿宋_GB2312" w:eastAsia="仿宋_GB2312" w:cs="仿宋_GB2312"/>
          <w:sz w:val="32"/>
          <w:szCs w:val="32"/>
        </w:rPr>
        <w:t>等工作。</w:t>
      </w:r>
    </w:p>
    <w:p>
      <w:pPr>
        <w:pStyle w:val="2"/>
        <w:keepNext w:val="0"/>
        <w:keepLines w:val="0"/>
        <w:pageBreakBefore w:val="0"/>
        <w:widowControl w:val="0"/>
        <w:kinsoku/>
        <w:wordWrap/>
        <w:overflowPunct/>
        <w:topLinePunct w:val="0"/>
        <w:autoSpaceDE/>
        <w:autoSpaceDN/>
        <w:bidi w:val="0"/>
        <w:adjustRightInd/>
        <w:spacing w:line="560" w:lineRule="exact"/>
        <w:ind w:left="0" w:leftChars="0" w:firstLine="3520" w:firstLineChars="1100"/>
        <w:jc w:val="both"/>
        <w:textAlignment w:val="auto"/>
        <w:rPr>
          <w:rFonts w:hint="eastAsia" w:ascii="仿宋_GB2312" w:eastAsia="仿宋_GB2312"/>
          <w:b w:val="0"/>
          <w:sz w:val="32"/>
          <w:szCs w:val="32"/>
          <w:lang w:val="zh-TW"/>
        </w:rPr>
      </w:pPr>
    </w:p>
    <w:p>
      <w:pPr>
        <w:pStyle w:val="2"/>
        <w:keepNext w:val="0"/>
        <w:keepLines w:val="0"/>
        <w:pageBreakBefore w:val="0"/>
        <w:widowControl w:val="0"/>
        <w:kinsoku/>
        <w:wordWrap/>
        <w:overflowPunct/>
        <w:topLinePunct w:val="0"/>
        <w:autoSpaceDE/>
        <w:autoSpaceDN/>
        <w:bidi w:val="0"/>
        <w:adjustRightInd/>
        <w:spacing w:line="560" w:lineRule="exact"/>
        <w:ind w:left="0" w:leftChars="0" w:firstLine="3520" w:firstLineChars="1100"/>
        <w:jc w:val="both"/>
        <w:textAlignment w:val="auto"/>
        <w:rPr>
          <w:rFonts w:hint="eastAsia" w:ascii="仿宋_GB2312" w:eastAsia="仿宋_GB2312"/>
          <w:b w:val="0"/>
          <w:sz w:val="32"/>
          <w:szCs w:val="32"/>
          <w:lang w:val="zh-TW"/>
        </w:rPr>
      </w:pPr>
    </w:p>
    <w:p>
      <w:pPr>
        <w:pStyle w:val="2"/>
        <w:keepNext w:val="0"/>
        <w:keepLines w:val="0"/>
        <w:pageBreakBefore w:val="0"/>
        <w:widowControl w:val="0"/>
        <w:kinsoku/>
        <w:wordWrap/>
        <w:overflowPunct/>
        <w:topLinePunct w:val="0"/>
        <w:autoSpaceDE/>
        <w:autoSpaceDN/>
        <w:bidi w:val="0"/>
        <w:adjustRightInd/>
        <w:spacing w:line="560" w:lineRule="exact"/>
        <w:ind w:left="0" w:leftChars="0" w:firstLine="3520" w:firstLineChars="1100"/>
        <w:jc w:val="both"/>
        <w:textAlignment w:val="auto"/>
        <w:rPr>
          <w:rFonts w:hint="eastAsia" w:ascii="仿宋_GB2312" w:eastAsia="仿宋_GB2312"/>
          <w:b w:val="0"/>
          <w:sz w:val="32"/>
          <w:szCs w:val="32"/>
          <w:lang w:val="zh-TW"/>
        </w:rPr>
      </w:pPr>
    </w:p>
    <w:p>
      <w:pPr>
        <w:pStyle w:val="2"/>
        <w:keepNext w:val="0"/>
        <w:keepLines w:val="0"/>
        <w:pageBreakBefore w:val="0"/>
        <w:widowControl w:val="0"/>
        <w:kinsoku/>
        <w:wordWrap/>
        <w:overflowPunct/>
        <w:topLinePunct w:val="0"/>
        <w:autoSpaceDE/>
        <w:autoSpaceDN/>
        <w:bidi w:val="0"/>
        <w:adjustRightInd/>
        <w:spacing w:line="560" w:lineRule="exact"/>
        <w:ind w:left="0" w:leftChars="0" w:firstLine="3520" w:firstLineChars="1100"/>
        <w:jc w:val="both"/>
        <w:textAlignment w:val="auto"/>
        <w:rPr>
          <w:rFonts w:hint="eastAsia" w:ascii="仿宋_GB2312" w:eastAsia="仿宋_GB2312"/>
          <w:b w:val="0"/>
          <w:sz w:val="32"/>
          <w:szCs w:val="32"/>
          <w:lang w:val="zh-TW"/>
        </w:rPr>
      </w:pPr>
      <w:r>
        <w:rPr>
          <w:rFonts w:hint="eastAsia" w:ascii="仿宋_GB2312" w:eastAsia="仿宋_GB2312"/>
          <w:b w:val="0"/>
          <w:sz w:val="32"/>
          <w:szCs w:val="32"/>
          <w:lang w:val="zh-TW"/>
        </w:rPr>
        <w:t>宝鸡市陈仓区农业农村局</w:t>
      </w:r>
    </w:p>
    <w:p>
      <w:pPr>
        <w:pStyle w:val="2"/>
        <w:keepNext w:val="0"/>
        <w:keepLines w:val="0"/>
        <w:pageBreakBefore w:val="0"/>
        <w:widowControl w:val="0"/>
        <w:kinsoku/>
        <w:wordWrap/>
        <w:overflowPunct/>
        <w:topLinePunct w:val="0"/>
        <w:autoSpaceDE/>
        <w:autoSpaceDN/>
        <w:bidi w:val="0"/>
        <w:adjustRightInd/>
        <w:spacing w:line="560" w:lineRule="exact"/>
        <w:ind w:firstLine="3840" w:firstLineChars="1200"/>
        <w:jc w:val="both"/>
        <w:textAlignment w:val="auto"/>
        <w:rPr>
          <w:rFonts w:hint="eastAsia" w:ascii="仿宋_GB2312" w:eastAsia="仿宋_GB2312"/>
          <w:b w:val="0"/>
          <w:sz w:val="32"/>
          <w:szCs w:val="32"/>
          <w:lang w:val="zh-TW"/>
        </w:rPr>
      </w:pPr>
      <w:r>
        <w:rPr>
          <w:rFonts w:hint="eastAsia" w:ascii="仿宋_GB2312" w:eastAsia="仿宋_GB2312"/>
          <w:b w:val="0"/>
          <w:sz w:val="32"/>
          <w:szCs w:val="32"/>
          <w:lang w:val="zh-TW"/>
        </w:rPr>
        <w:t>202</w:t>
      </w:r>
      <w:r>
        <w:rPr>
          <w:rFonts w:hint="eastAsia" w:ascii="仿宋_GB2312" w:eastAsia="仿宋_GB2312"/>
          <w:b w:val="0"/>
          <w:sz w:val="32"/>
          <w:szCs w:val="32"/>
          <w:lang w:val="en-US" w:eastAsia="zh-CN"/>
        </w:rPr>
        <w:t>2</w:t>
      </w:r>
      <w:r>
        <w:rPr>
          <w:rFonts w:hint="eastAsia" w:ascii="仿宋_GB2312" w:eastAsia="仿宋_GB2312"/>
          <w:b w:val="0"/>
          <w:sz w:val="32"/>
          <w:szCs w:val="32"/>
          <w:lang w:val="zh-TW"/>
        </w:rPr>
        <w:t>年</w:t>
      </w:r>
      <w:r>
        <w:rPr>
          <w:rFonts w:hint="eastAsia" w:ascii="仿宋_GB2312" w:eastAsia="仿宋_GB2312"/>
          <w:b w:val="0"/>
          <w:sz w:val="32"/>
          <w:szCs w:val="32"/>
          <w:lang w:val="en-US" w:eastAsia="zh-CN"/>
        </w:rPr>
        <w:t>4</w:t>
      </w:r>
      <w:r>
        <w:rPr>
          <w:rFonts w:hint="eastAsia" w:ascii="仿宋_GB2312" w:eastAsia="仿宋_GB2312"/>
          <w:b w:val="0"/>
          <w:sz w:val="32"/>
          <w:szCs w:val="32"/>
          <w:lang w:val="zh-TW"/>
        </w:rPr>
        <w:t>月</w:t>
      </w:r>
      <w:r>
        <w:rPr>
          <w:rFonts w:hint="eastAsia" w:ascii="仿宋_GB2312" w:eastAsia="仿宋_GB2312"/>
          <w:b w:val="0"/>
          <w:sz w:val="32"/>
          <w:szCs w:val="32"/>
          <w:lang w:val="en-US" w:eastAsia="zh-CN"/>
        </w:rPr>
        <w:t>25</w:t>
      </w:r>
      <w:r>
        <w:rPr>
          <w:rFonts w:hint="eastAsia" w:ascii="仿宋_GB2312" w:eastAsia="仿宋_GB2312"/>
          <w:b w:val="0"/>
          <w:sz w:val="32"/>
          <w:szCs w:val="32"/>
          <w:lang w:val="zh-TW"/>
        </w:rPr>
        <w:t>日</w:t>
      </w:r>
    </w:p>
    <w:p>
      <w:pPr>
        <w:pStyle w:val="2"/>
        <w:spacing w:line="600" w:lineRule="exact"/>
        <w:ind w:firstLine="3840" w:firstLineChars="1200"/>
        <w:jc w:val="both"/>
        <w:rPr>
          <w:rFonts w:hint="eastAsia" w:ascii="仿宋_GB2312" w:eastAsia="仿宋_GB2312"/>
          <w:b w:val="0"/>
          <w:sz w:val="32"/>
          <w:szCs w:val="32"/>
          <w:lang w:val="zh-TW"/>
        </w:rPr>
      </w:pPr>
    </w:p>
    <w:p>
      <w:pPr>
        <w:pStyle w:val="2"/>
        <w:spacing w:line="600" w:lineRule="exact"/>
        <w:ind w:firstLine="3840" w:firstLineChars="1200"/>
        <w:jc w:val="both"/>
        <w:rPr>
          <w:rFonts w:hint="eastAsia" w:ascii="仿宋_GB2312" w:eastAsia="仿宋_GB2312"/>
          <w:b w:val="0"/>
          <w:sz w:val="32"/>
          <w:szCs w:val="32"/>
          <w:lang w:val="zh-TW"/>
        </w:rPr>
      </w:pPr>
    </w:p>
    <w:p>
      <w:pPr>
        <w:pStyle w:val="2"/>
        <w:spacing w:line="600" w:lineRule="exact"/>
        <w:ind w:firstLine="3840" w:firstLineChars="1200"/>
        <w:jc w:val="both"/>
        <w:rPr>
          <w:rFonts w:hint="eastAsia" w:ascii="仿宋_GB2312" w:eastAsia="仿宋_GB2312"/>
          <w:b w:val="0"/>
          <w:sz w:val="32"/>
          <w:szCs w:val="32"/>
          <w:lang w:val="zh-TW"/>
        </w:rPr>
      </w:pPr>
    </w:p>
    <w:p>
      <w:pPr>
        <w:pStyle w:val="2"/>
        <w:spacing w:line="600" w:lineRule="exact"/>
        <w:ind w:firstLine="3840" w:firstLineChars="1200"/>
        <w:jc w:val="both"/>
        <w:rPr>
          <w:rFonts w:hint="eastAsia" w:ascii="仿宋_GB2312" w:eastAsia="仿宋_GB2312"/>
          <w:b w:val="0"/>
          <w:sz w:val="32"/>
          <w:szCs w:val="32"/>
          <w:lang w:val="zh-TW"/>
        </w:rPr>
      </w:pPr>
    </w:p>
    <w:p>
      <w:pPr>
        <w:pStyle w:val="2"/>
        <w:spacing w:line="600" w:lineRule="exact"/>
        <w:ind w:firstLine="3840" w:firstLineChars="1200"/>
        <w:jc w:val="both"/>
        <w:rPr>
          <w:rFonts w:hint="eastAsia" w:ascii="仿宋_GB2312" w:eastAsia="仿宋_GB2312"/>
          <w:b w:val="0"/>
          <w:sz w:val="32"/>
          <w:szCs w:val="32"/>
          <w:lang w:val="zh-TW"/>
        </w:rPr>
      </w:pPr>
    </w:p>
    <w:p>
      <w:pPr>
        <w:pStyle w:val="2"/>
        <w:spacing w:line="600" w:lineRule="exact"/>
        <w:ind w:firstLine="3840" w:firstLineChars="1200"/>
        <w:jc w:val="both"/>
        <w:rPr>
          <w:rFonts w:hint="eastAsia" w:ascii="仿宋_GB2312" w:eastAsia="仿宋_GB2312"/>
          <w:b w:val="0"/>
          <w:sz w:val="32"/>
          <w:szCs w:val="32"/>
          <w:lang w:val="zh-TW"/>
        </w:rPr>
      </w:pPr>
    </w:p>
    <w:p>
      <w:pPr>
        <w:pStyle w:val="2"/>
        <w:spacing w:line="600" w:lineRule="exact"/>
        <w:ind w:firstLine="3840" w:firstLineChars="1200"/>
        <w:jc w:val="both"/>
        <w:rPr>
          <w:rFonts w:hint="eastAsia" w:ascii="仿宋_GB2312" w:eastAsia="仿宋_GB2312"/>
          <w:b w:val="0"/>
          <w:sz w:val="32"/>
          <w:szCs w:val="32"/>
          <w:lang w:val="zh-TW"/>
        </w:rPr>
      </w:pPr>
    </w:p>
    <w:p>
      <w:pPr>
        <w:pStyle w:val="2"/>
        <w:spacing w:line="600" w:lineRule="exact"/>
        <w:ind w:firstLine="3840" w:firstLineChars="1200"/>
        <w:jc w:val="both"/>
        <w:rPr>
          <w:rFonts w:hint="eastAsia" w:ascii="仿宋_GB2312" w:eastAsia="仿宋_GB2312"/>
          <w:b w:val="0"/>
          <w:sz w:val="32"/>
          <w:szCs w:val="32"/>
          <w:lang w:val="zh-TW"/>
        </w:rPr>
      </w:pPr>
    </w:p>
    <w:p>
      <w:pPr>
        <w:pStyle w:val="2"/>
        <w:rPr>
          <w:rFonts w:hint="eastAsia"/>
        </w:rPr>
      </w:pPr>
    </w:p>
    <w:p>
      <w:pPr>
        <w:pBdr>
          <w:top w:val="single" w:color="auto" w:sz="6" w:space="1"/>
          <w:bottom w:val="single" w:color="auto" w:sz="6" w:space="1"/>
        </w:pBdr>
        <w:spacing w:line="440" w:lineRule="exact"/>
        <w:ind w:firstLine="140" w:firstLineChars="50"/>
        <w:rPr>
          <w:rFonts w:hint="eastAsia" w:ascii="仿宋" w:hAnsi="仿宋" w:eastAsia="仿宋"/>
          <w:sz w:val="28"/>
          <w:szCs w:val="28"/>
        </w:rPr>
      </w:pPr>
      <w:r>
        <w:rPr>
          <w:rFonts w:hint="eastAsia" w:ascii="仿宋" w:hAnsi="仿宋" w:eastAsia="仿宋"/>
          <w:sz w:val="28"/>
          <w:szCs w:val="28"/>
        </w:rPr>
        <w:t>抄</w:t>
      </w:r>
      <w:r>
        <w:rPr>
          <w:rFonts w:hint="eastAsia" w:ascii="仿宋" w:hAnsi="仿宋" w:eastAsia="仿宋"/>
          <w:sz w:val="28"/>
          <w:szCs w:val="28"/>
          <w:lang w:val="en-US" w:eastAsia="zh-CN"/>
        </w:rPr>
        <w:t xml:space="preserve"> </w:t>
      </w:r>
      <w:r>
        <w:rPr>
          <w:rFonts w:hint="eastAsia" w:ascii="仿宋" w:hAnsi="仿宋" w:eastAsia="仿宋"/>
          <w:sz w:val="28"/>
          <w:szCs w:val="28"/>
        </w:rPr>
        <w:t>送：</w:t>
      </w:r>
      <w:r>
        <w:rPr>
          <w:rFonts w:hint="eastAsia" w:ascii="仿宋" w:hAnsi="仿宋" w:eastAsia="仿宋"/>
          <w:sz w:val="28"/>
          <w:szCs w:val="28"/>
          <w:lang w:eastAsia="zh-CN"/>
        </w:rPr>
        <w:t>局各领导</w:t>
      </w:r>
      <w:r>
        <w:rPr>
          <w:rFonts w:hint="eastAsia" w:ascii="仿宋" w:hAnsi="仿宋" w:eastAsia="仿宋"/>
          <w:sz w:val="28"/>
          <w:szCs w:val="28"/>
        </w:rPr>
        <w:t>。</w:t>
      </w:r>
    </w:p>
    <w:p>
      <w:pPr>
        <w:pBdr>
          <w:bottom w:val="single" w:color="auto" w:sz="6" w:space="1"/>
          <w:between w:val="single" w:color="auto" w:sz="6" w:space="1"/>
        </w:pBdr>
        <w:spacing w:line="440" w:lineRule="exact"/>
        <w:ind w:firstLine="140" w:firstLineChars="50"/>
        <w:rPr>
          <w:rFonts w:hint="eastAsia" w:ascii="仿宋" w:hAnsi="仿宋" w:eastAsia="仿宋"/>
          <w:sz w:val="28"/>
          <w:szCs w:val="28"/>
          <w:lang w:val="zh-TW"/>
        </w:rPr>
      </w:pPr>
      <w:r>
        <w:rPr>
          <w:rFonts w:hint="eastAsia" w:ascii="仿宋" w:hAnsi="仿宋" w:eastAsia="仿宋"/>
          <w:sz w:val="28"/>
          <w:szCs w:val="28"/>
        </w:rPr>
        <w:t xml:space="preserve">宝鸡市陈仓区农业农村局                </w:t>
      </w:r>
      <w:r>
        <w:rPr>
          <w:rFonts w:hint="eastAsia" w:ascii="仿宋" w:hAnsi="仿宋" w:eastAsia="仿宋"/>
          <w:sz w:val="28"/>
          <w:szCs w:val="28"/>
          <w:lang w:val="en-US" w:eastAsia="zh-CN"/>
        </w:rPr>
        <w:t xml:space="preserve">    </w:t>
      </w:r>
      <w:bookmarkStart w:id="0" w:name="_GoBack"/>
      <w:bookmarkEnd w:id="0"/>
      <w:r>
        <w:rPr>
          <w:rFonts w:hint="eastAsia" w:ascii="仿宋" w:hAnsi="仿宋" w:eastAsia="仿宋"/>
          <w:sz w:val="28"/>
          <w:szCs w:val="28"/>
        </w:rPr>
        <w:t>202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val="en-US" w:eastAsia="zh-CN"/>
        </w:rPr>
        <w:t>4</w:t>
      </w:r>
      <w:r>
        <w:rPr>
          <w:rFonts w:hint="eastAsia" w:ascii="仿宋" w:hAnsi="仿宋" w:eastAsia="仿宋"/>
          <w:sz w:val="28"/>
          <w:szCs w:val="28"/>
        </w:rPr>
        <w:t>月</w:t>
      </w:r>
      <w:r>
        <w:rPr>
          <w:rFonts w:hint="eastAsia" w:ascii="仿宋" w:hAnsi="仿宋" w:eastAsia="仿宋"/>
          <w:sz w:val="28"/>
          <w:szCs w:val="28"/>
          <w:lang w:val="en-US" w:eastAsia="zh-CN"/>
        </w:rPr>
        <w:t>25</w:t>
      </w:r>
      <w:r>
        <w:rPr>
          <w:rFonts w:hint="eastAsia" w:ascii="仿宋" w:hAnsi="仿宋" w:eastAsia="仿宋"/>
          <w:sz w:val="28"/>
          <w:szCs w:val="28"/>
        </w:rPr>
        <w:t>日印发</w:t>
      </w:r>
    </w:p>
    <w:sectPr>
      <w:footerReference r:id="rId5" w:type="default"/>
      <w:pgSz w:w="11906" w:h="16838"/>
      <w:pgMar w:top="1440" w:right="1406" w:bottom="1440" w:left="1689"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71530F"/>
    <w:rsid w:val="0000735B"/>
    <w:rsid w:val="00041C93"/>
    <w:rsid w:val="00084F8B"/>
    <w:rsid w:val="00141A4A"/>
    <w:rsid w:val="002D5F4E"/>
    <w:rsid w:val="002F24C9"/>
    <w:rsid w:val="0038609F"/>
    <w:rsid w:val="00386AF3"/>
    <w:rsid w:val="003D28E3"/>
    <w:rsid w:val="0071530F"/>
    <w:rsid w:val="00724845"/>
    <w:rsid w:val="0081089C"/>
    <w:rsid w:val="00985B57"/>
    <w:rsid w:val="00A258C3"/>
    <w:rsid w:val="00B241EA"/>
    <w:rsid w:val="00B67506"/>
    <w:rsid w:val="00BB4722"/>
    <w:rsid w:val="00D60088"/>
    <w:rsid w:val="00D871B5"/>
    <w:rsid w:val="00EC4678"/>
    <w:rsid w:val="00F33FD7"/>
    <w:rsid w:val="013C1960"/>
    <w:rsid w:val="015964E2"/>
    <w:rsid w:val="016A71AA"/>
    <w:rsid w:val="01B7106F"/>
    <w:rsid w:val="025020A0"/>
    <w:rsid w:val="029E6726"/>
    <w:rsid w:val="041939F1"/>
    <w:rsid w:val="0490503A"/>
    <w:rsid w:val="04BA2E5A"/>
    <w:rsid w:val="04BF1E96"/>
    <w:rsid w:val="05466DC0"/>
    <w:rsid w:val="056412FD"/>
    <w:rsid w:val="05AB5774"/>
    <w:rsid w:val="05B9667F"/>
    <w:rsid w:val="072C3F89"/>
    <w:rsid w:val="07B36C00"/>
    <w:rsid w:val="089C056F"/>
    <w:rsid w:val="09560185"/>
    <w:rsid w:val="0A4D5D41"/>
    <w:rsid w:val="0A8456C9"/>
    <w:rsid w:val="0B427524"/>
    <w:rsid w:val="0BD22140"/>
    <w:rsid w:val="0C2F2EAB"/>
    <w:rsid w:val="0D9151F5"/>
    <w:rsid w:val="0F0A795A"/>
    <w:rsid w:val="108E7B1E"/>
    <w:rsid w:val="12E85031"/>
    <w:rsid w:val="14105307"/>
    <w:rsid w:val="16C775D8"/>
    <w:rsid w:val="17A938A3"/>
    <w:rsid w:val="1828475E"/>
    <w:rsid w:val="18620509"/>
    <w:rsid w:val="19730CD4"/>
    <w:rsid w:val="19815045"/>
    <w:rsid w:val="1ACD68AD"/>
    <w:rsid w:val="1C924776"/>
    <w:rsid w:val="1D30319E"/>
    <w:rsid w:val="1E3E4CA4"/>
    <w:rsid w:val="1F0C0750"/>
    <w:rsid w:val="1F2145E9"/>
    <w:rsid w:val="1F307B53"/>
    <w:rsid w:val="1FB51BA8"/>
    <w:rsid w:val="20406AE2"/>
    <w:rsid w:val="208E5716"/>
    <w:rsid w:val="20B935BA"/>
    <w:rsid w:val="20E47DFA"/>
    <w:rsid w:val="211C634F"/>
    <w:rsid w:val="212E3875"/>
    <w:rsid w:val="240F5891"/>
    <w:rsid w:val="24543D5B"/>
    <w:rsid w:val="249F6004"/>
    <w:rsid w:val="24DE4884"/>
    <w:rsid w:val="27827809"/>
    <w:rsid w:val="2A8B5F4F"/>
    <w:rsid w:val="2AC32CD0"/>
    <w:rsid w:val="2B0647E4"/>
    <w:rsid w:val="2B450AF4"/>
    <w:rsid w:val="2D750C78"/>
    <w:rsid w:val="2DB15C04"/>
    <w:rsid w:val="2F920BC1"/>
    <w:rsid w:val="3002590A"/>
    <w:rsid w:val="30B87D98"/>
    <w:rsid w:val="3137174F"/>
    <w:rsid w:val="31487804"/>
    <w:rsid w:val="31A2351D"/>
    <w:rsid w:val="32837FE3"/>
    <w:rsid w:val="32CC03D3"/>
    <w:rsid w:val="32D205B1"/>
    <w:rsid w:val="3310634F"/>
    <w:rsid w:val="334D63D9"/>
    <w:rsid w:val="338318B1"/>
    <w:rsid w:val="34762254"/>
    <w:rsid w:val="36FE3E72"/>
    <w:rsid w:val="37773AD4"/>
    <w:rsid w:val="38B67E28"/>
    <w:rsid w:val="39543BF7"/>
    <w:rsid w:val="397C7298"/>
    <w:rsid w:val="398B4DB2"/>
    <w:rsid w:val="3A984D80"/>
    <w:rsid w:val="3ABC2193"/>
    <w:rsid w:val="3BED577A"/>
    <w:rsid w:val="3C232CD6"/>
    <w:rsid w:val="3C360CCB"/>
    <w:rsid w:val="3CDA35A8"/>
    <w:rsid w:val="3DAA1102"/>
    <w:rsid w:val="3E7A03FD"/>
    <w:rsid w:val="3EC34B32"/>
    <w:rsid w:val="3F8101D4"/>
    <w:rsid w:val="3FFF6DF7"/>
    <w:rsid w:val="40AE2759"/>
    <w:rsid w:val="41711E74"/>
    <w:rsid w:val="43032E72"/>
    <w:rsid w:val="449A48D6"/>
    <w:rsid w:val="45B02A52"/>
    <w:rsid w:val="47020A9C"/>
    <w:rsid w:val="474811FD"/>
    <w:rsid w:val="4CF60FAF"/>
    <w:rsid w:val="4CFA148B"/>
    <w:rsid w:val="4D4F4BC7"/>
    <w:rsid w:val="4E497EF3"/>
    <w:rsid w:val="4F391B12"/>
    <w:rsid w:val="4FAB13F1"/>
    <w:rsid w:val="50566EA4"/>
    <w:rsid w:val="50865986"/>
    <w:rsid w:val="50B820E6"/>
    <w:rsid w:val="50CA62FB"/>
    <w:rsid w:val="51CC71C1"/>
    <w:rsid w:val="52082081"/>
    <w:rsid w:val="5304527E"/>
    <w:rsid w:val="53FF792B"/>
    <w:rsid w:val="5523404F"/>
    <w:rsid w:val="566A6423"/>
    <w:rsid w:val="59561EA9"/>
    <w:rsid w:val="5A98175F"/>
    <w:rsid w:val="5AB5170A"/>
    <w:rsid w:val="5BCA4C2E"/>
    <w:rsid w:val="5BFD191D"/>
    <w:rsid w:val="5CAD7D03"/>
    <w:rsid w:val="5DD96821"/>
    <w:rsid w:val="5DDE09B4"/>
    <w:rsid w:val="5E9B7945"/>
    <w:rsid w:val="61096C1C"/>
    <w:rsid w:val="61784244"/>
    <w:rsid w:val="617F21AD"/>
    <w:rsid w:val="62226B6A"/>
    <w:rsid w:val="642632E3"/>
    <w:rsid w:val="646C0698"/>
    <w:rsid w:val="64FE654E"/>
    <w:rsid w:val="664868AE"/>
    <w:rsid w:val="667C054B"/>
    <w:rsid w:val="66F57B61"/>
    <w:rsid w:val="6828620B"/>
    <w:rsid w:val="69031739"/>
    <w:rsid w:val="69615E07"/>
    <w:rsid w:val="697932C0"/>
    <w:rsid w:val="6A85376F"/>
    <w:rsid w:val="6B0D09C4"/>
    <w:rsid w:val="6B1A10E9"/>
    <w:rsid w:val="6B4950AE"/>
    <w:rsid w:val="6B966854"/>
    <w:rsid w:val="6BB46DCF"/>
    <w:rsid w:val="6C37445E"/>
    <w:rsid w:val="6D2D6E54"/>
    <w:rsid w:val="6DF908E0"/>
    <w:rsid w:val="6E69788D"/>
    <w:rsid w:val="6E945EF0"/>
    <w:rsid w:val="6EE17098"/>
    <w:rsid w:val="70860607"/>
    <w:rsid w:val="70D67E4D"/>
    <w:rsid w:val="71B3797D"/>
    <w:rsid w:val="73B76A91"/>
    <w:rsid w:val="746B701C"/>
    <w:rsid w:val="74D97A75"/>
    <w:rsid w:val="762E49EE"/>
    <w:rsid w:val="76682BC7"/>
    <w:rsid w:val="76C2531B"/>
    <w:rsid w:val="79BA420C"/>
    <w:rsid w:val="79D614B5"/>
    <w:rsid w:val="7A2C01C1"/>
    <w:rsid w:val="7A703437"/>
    <w:rsid w:val="7AA04DB2"/>
    <w:rsid w:val="7C3517A4"/>
    <w:rsid w:val="7CBB698C"/>
    <w:rsid w:val="7D0E6CF9"/>
    <w:rsid w:val="7DC2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560" w:lineRule="exact"/>
      <w:jc w:val="center"/>
    </w:pPr>
    <w:rPr>
      <w:rFonts w:ascii="方正小标宋简体" w:hAnsi="华文中宋" w:eastAsia="方正小标宋简体"/>
      <w:b/>
      <w:sz w:val="44"/>
      <w:szCs w:val="4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21"/>
    <w:basedOn w:val="7"/>
    <w:qFormat/>
    <w:uiPriority w:val="0"/>
    <w:rPr>
      <w:rFonts w:hint="eastAsia" w:ascii="宋体" w:hAnsi="宋体" w:eastAsia="宋体" w:cs="宋体"/>
      <w:color w:val="000000"/>
      <w:sz w:val="22"/>
      <w:szCs w:val="22"/>
      <w:u w:val="none"/>
    </w:rPr>
  </w:style>
  <w:style w:type="character" w:customStyle="1" w:styleId="9">
    <w:name w:val="font31"/>
    <w:basedOn w:val="7"/>
    <w:qFormat/>
    <w:uiPriority w:val="0"/>
    <w:rPr>
      <w:rFonts w:hint="eastAsia" w:ascii="仿宋" w:hAnsi="仿宋" w:eastAsia="仿宋" w:cs="仿宋"/>
      <w:color w:val="000000"/>
      <w:sz w:val="22"/>
      <w:szCs w:val="22"/>
      <w:u w:val="none"/>
    </w:rPr>
  </w:style>
  <w:style w:type="paragraph" w:styleId="10">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1005</Words>
  <Characters>1073</Characters>
  <Lines>24</Lines>
  <Paragraphs>6</Paragraphs>
  <TotalTime>8</TotalTime>
  <ScaleCrop>false</ScaleCrop>
  <LinksUpToDate>false</LinksUpToDate>
  <CharactersWithSpaces>1092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2022-04-25T09:39:24Z</cp:lastPrinted>
  <dcterms:modified xsi:type="dcterms:W3CDTF">2022-04-25T09:39:39Z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FCB05AD44D384154892198C841974FB6</vt:lpwstr>
  </property>
</Properties>
</file>